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[Board / Compensation Committee]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describes how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rewards its people. Our aim is to attract and retain talent, reward performance and remain fair and financially sustainable.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employees. Directors' remuneration and sales incentive plans follow separate approvals but must be consistent with these principles.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Total rewards: fixed pay, variable pay, benefits, recognition and long-term incentives.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CTC: the total annual cost to company of an employee, including employer statutory contributions.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Variable pay: pay linked to individual, team or company performance.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Market percentile: the position of our pay compared with benchmark companies.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philosophy: we target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th percentile of our benchmark market for fixed pay, and up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th percentile for critical skills.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Fixed pay is set within grade-wise pay bands as per the Salary Administration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Variable pay is paid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[annually / half-yearly]</w:t>
      </w:r>
      <w:r>
        <w:rPr>
          <w:rFonts w:ascii="Calibri" w:cs="Calibri" w:eastAsia="Calibri" w:hAnsi="Calibri"/>
          <w:sz w:val="22"/>
          <w:szCs w:val="22"/>
        </w:rPr>
        <w:t xml:space="preserve"> based on company and individual results, as shown in the table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eligible employees receive statutory benefits including PF, ESI, gratuity and statutory bonus where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benefits include group health insurance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family, term life cover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times annual fixed pay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benefits]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Long-term incentives (ESOP/RSU) may be granted to selected roles as per the approved scheme.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is decided without discrimination on the basis of gender, religion, caste, disability or any other protected ground.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Individual pay is confidential to the employee, HR and the approving managers.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Fixed Pay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Variable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Variable Basis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+ individual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+ individual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Individual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conducts market benchmarking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annual compensation budget is proposed by HR and Finance and approved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Variable pay outcomes are calculated after annual results are finalised and paid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Board/Leadership: approve philosophy and budgets.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design, benchmark and audit pay equity.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Finance: affordability and payment.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explain rewards to their teams.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Pay commitments made outside this policy are not binding unless approved in writing. Breach of pay confidentiality by those with access to pay data may lead to disciplinary action.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is reviewed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or earlier if business conditions or laws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Policy</dc:title>
  <dc:subject>Free compensation policy in Word for Indian firms: pay philosophy, market positioning, fixed vs variable pay, benefits, statutory coverage and pay equity rules.</dc:subject>
  <dc:creator>BetterJobs.in</dc:creator>
  <cp:keywords>compensation policy, compensation policy template india, compensation and benefits policy in word, pay philosophy policy sample, total rewards policy, variable pay policy format</cp:keywords>
  <dc:description>Free Compensation Policy template from BetterJobs.in — https://betterjobs.in/hr-templates/compensation-policy/</dc:description>
  <cp:lastModifiedBy>Un-named</cp:lastModifiedBy>
  <cp:revision>1</cp:revision>
  <dcterms:created xsi:type="dcterms:W3CDTF">2026-10-05T18:59:39.400Z</dcterms:created>
  <dcterms:modified xsi:type="dcterms:W3CDTF">2026-10-05T18:59:39.400Z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