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COMPETENCY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Proficiency Levels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 – Basic: aware, needs guidance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 – Developing: applies with some support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 – Proficient: applies consistently on own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4 – Advanced: handles complex situations, coaches others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5 – Role model: shapes practice across the organisation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Example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focus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 and accountability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Functional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[Role-specific competency]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Functional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[Role-specific competency]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Leadership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[1-5]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Priority development areas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Promotion readiness (Ready now / 1–2 years / Not yet)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assessment is confidential to the employee, the reporting manager and HR and is used for development and career planning.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Competency Matrix</dc:title>
  <dc:subject>Free employee competency matrix in Word: core, functional and leadership competencies with expected vs assessed levels per role and development actions.</dc:subject>
  <dc:creator>BetterJobs.in</dc:creator>
  <cp:keywords>employee competency matrix, competency matrix template, competency mapping format, competency framework template for employees, role competency matrix format, competency assessment sheet</cp:keywords>
  <dc:description>Free Employee Competency Matrix template from BetterJobs.in — https://betterjobs.in/hr-templates/employee-competency-matrix/</dc:description>
  <cp:lastModifiedBy>Un-named</cp:lastModifiedBy>
  <cp:revision>1</cp:revision>
  <dcterms:created xsi:type="dcterms:W3CDTF">2026-10-05T17:58:29.842Z</dcterms:created>
  <dcterms:modified xsi:type="dcterms:W3CDTF">2026-10-05T17:58:29.842Z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