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HANDBOOK</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w:t>
            </w:r>
          </w:p>
        </w:tc>
      </w:tr>
    </w:tbl>
    <w:p/>
    <w:p>
      <w:pPr>
        <w:pStyle w:val="Heading2"/>
        <w:spacing w:after="100" w:before="240"/>
      </w:pPr>
      <w:r>
        <w:rPr>
          <w:rFonts w:ascii="Calibri" w:cs="Calibri" w:eastAsia="Calibri" w:hAnsi="Calibri"/>
          <w:b/>
          <w:bCs/>
          <w:color w:val="0B1B3F"/>
          <w:sz w:val="24"/>
          <w:szCs w:val="24"/>
        </w:rPr>
        <w:t xml:space="preserve">1. Welcome and Purpose</w:t>
      </w:r>
    </w:p>
    <w:p>
      <w:pPr>
        <w:spacing w:after="160" w:line="300"/>
      </w:pPr>
      <w:r>
        <w:rPr>
          <w:rFonts w:ascii="Calibri" w:cs="Calibri" w:eastAsia="Calibri" w:hAnsi="Calibri"/>
          <w:sz w:val="22"/>
          <w:szCs w:val="22"/>
        </w:rPr>
        <w:t xml:space="preserve">Welcome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This handbook explains how we work and what we expect from each other. It applies to all employees on our rolls in India, including those deployed at client locations. Where a detailed policy exists, that policy will prevail.</w:t>
      </w:r>
    </w:p>
    <w:p>
      <w:pPr>
        <w:pStyle w:val="Heading2"/>
        <w:spacing w:after="100" w:before="240"/>
      </w:pPr>
      <w:r>
        <w:rPr>
          <w:rFonts w:ascii="Calibri" w:cs="Calibri" w:eastAsia="Calibri" w:hAnsi="Calibri"/>
          <w:b/>
          <w:bCs/>
          <w:color w:val="0B1B3F"/>
          <w:sz w:val="24"/>
          <w:szCs w:val="24"/>
        </w:rPr>
        <w:t xml:space="preserve">2. Working Hours, Shifts and Hybrid Work</w:t>
      </w:r>
    </w:p>
    <w:p>
      <w:pPr>
        <w:pStyle w:val="ListParagraph"/>
        <w:numPr>
          <w:ilvl w:val="0"/>
          <w:numId w:val="1"/>
        </w:numPr>
        <w:spacing w:after="80" w:line="290"/>
      </w:pPr>
      <w:r>
        <w:rPr>
          <w:rFonts w:ascii="Calibri" w:cs="Calibri" w:eastAsia="Calibri" w:hAnsi="Calibri"/>
          <w:sz w:val="22"/>
          <w:szCs w:val="22"/>
        </w:rPr>
        <w:t xml:space="preserve">Standard working hours are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hours a day,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a week, with core collaboration hours of </w:t>
      </w:r>
      <w:r>
        <w:rPr>
          <w:rFonts w:ascii="Calibri" w:cs="Calibri" w:eastAsia="Calibri" w:hAnsi="Calibri"/>
          <w:sz w:val="22"/>
          <w:szCs w:val="22"/>
          <w:highlight w:val="yellow"/>
        </w:rPr>
        <w:t xml:space="preserve">[Timing]</w:t>
      </w:r>
      <w:r>
        <w:rPr>
          <w:rFonts w:ascii="Calibri" w:cs="Calibri" w:eastAsia="Calibri" w:hAnsi="Calibri"/>
          <w:sz w:val="22"/>
          <w:szCs w:val="22"/>
        </w:rPr>
        <w:t xml:space="preserve">.</w:t>
      </w:r>
    </w:p>
    <w:p>
      <w:pPr>
        <w:pStyle w:val="ListParagraph"/>
        <w:numPr>
          <w:ilvl w:val="0"/>
          <w:numId w:val="1"/>
        </w:numPr>
        <w:spacing w:after="80" w:line="290"/>
      </w:pPr>
      <w:r>
        <w:rPr>
          <w:rFonts w:ascii="Calibri" w:cs="Calibri" w:eastAsia="Calibri" w:hAnsi="Calibri"/>
          <w:sz w:val="22"/>
          <w:szCs w:val="22"/>
        </w:rPr>
        <w:t xml:space="preserve">Project teams supporting global clients may work in shifts; shift allowance and transport are provided as per the Shift Policy.</w:t>
      </w:r>
    </w:p>
    <w:p>
      <w:pPr>
        <w:pStyle w:val="ListParagraph"/>
        <w:numPr>
          <w:ilvl w:val="0"/>
          <w:numId w:val="1"/>
        </w:numPr>
        <w:spacing w:after="80" w:line="290"/>
      </w:pPr>
      <w:r>
        <w:rPr>
          <w:rFonts w:ascii="Calibri" w:cs="Calibri" w:eastAsia="Calibri" w:hAnsi="Calibri"/>
          <w:sz w:val="22"/>
          <w:szCs w:val="22"/>
        </w:rPr>
        <w:t xml:space="preserve">Hybrid employees work from office on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a week as per the Work-from-Home Policy.</w:t>
      </w:r>
    </w:p>
    <w:p>
      <w:pPr>
        <w:pStyle w:val="ListParagraph"/>
        <w:numPr>
          <w:ilvl w:val="0"/>
          <w:numId w:val="1"/>
        </w:numPr>
        <w:spacing w:after="80" w:line="290"/>
      </w:pPr>
      <w:r>
        <w:rPr>
          <w:rFonts w:ascii="Calibri" w:cs="Calibri" w:eastAsia="Calibri" w:hAnsi="Calibri"/>
          <w:sz w:val="22"/>
          <w:szCs w:val="22"/>
        </w:rPr>
        <w:t xml:space="preserve">Attendance is recorded on </w:t>
      </w:r>
      <w:r>
        <w:rPr>
          <w:rFonts w:ascii="Calibri" w:cs="Calibri" w:eastAsia="Calibri" w:hAnsi="Calibri"/>
          <w:sz w:val="22"/>
          <w:szCs w:val="22"/>
          <w:highlight w:val="yellow"/>
        </w:rPr>
        <w:t xml:space="preserve">[HRMS / Attendance System]</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3. Leave and Holidays</w:t>
      </w:r>
    </w:p>
    <w:p>
      <w:pPr>
        <w:spacing w:after="160" w:line="300"/>
      </w:pPr>
      <w:r>
        <w:rPr>
          <w:rFonts w:ascii="Calibri" w:cs="Calibri" w:eastAsia="Calibri" w:hAnsi="Calibri"/>
          <w:sz w:val="22"/>
          <w:szCs w:val="22"/>
        </w:rPr>
        <w:t xml:space="preserve">Employees are entitled to earned, casual and sick leave as per the Leave Policy, plus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declared holidays. Maternity, paternity and bereavement leave are available as per policy and law.</w:t>
      </w:r>
    </w:p>
    <w:p>
      <w:pPr>
        <w:pStyle w:val="Heading2"/>
        <w:spacing w:after="100" w:before="240"/>
      </w:pPr>
      <w:r>
        <w:rPr>
          <w:rFonts w:ascii="Calibri" w:cs="Calibri" w:eastAsia="Calibri" w:hAnsi="Calibri"/>
          <w:b/>
          <w:bCs/>
          <w:color w:val="0B1B3F"/>
          <w:sz w:val="24"/>
          <w:szCs w:val="24"/>
        </w:rPr>
        <w:t xml:space="preserve">4. Compensation, Benefits and Performance</w:t>
      </w:r>
    </w:p>
    <w:p>
      <w:pPr>
        <w:spacing w:after="160" w:line="300"/>
      </w:pPr>
      <w:r>
        <w:rPr>
          <w:rFonts w:ascii="Calibri" w:cs="Calibri" w:eastAsia="Calibri" w:hAnsi="Calibri"/>
          <w:sz w:val="22"/>
          <w:szCs w:val="22"/>
        </w:rPr>
        <w:t xml:space="preserve">Salaries are paid by the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of each month. Employees are covered under PF, gratuity, group health and accident insurance as per policy. Performance is reviewed </w:t>
      </w:r>
      <w:r>
        <w:rPr>
          <w:rFonts w:ascii="Calibri" w:cs="Calibri" w:eastAsia="Calibri" w:hAnsi="Calibri"/>
          <w:sz w:val="22"/>
          <w:szCs w:val="22"/>
          <w:highlight w:val="yellow"/>
        </w:rPr>
        <w:t xml:space="preserve">[annually / half-yearly]</w:t>
      </w:r>
      <w:r>
        <w:rPr>
          <w:rFonts w:ascii="Calibri" w:cs="Calibri" w:eastAsia="Calibri" w:hAnsi="Calibri"/>
          <w:sz w:val="22"/>
          <w:szCs w:val="22"/>
        </w:rPr>
        <w:t xml:space="preserve"> through goal setting and calibrated ratings.</w:t>
      </w:r>
    </w:p>
    <w:p>
      <w:pPr>
        <w:pStyle w:val="Heading2"/>
        <w:spacing w:after="100" w:before="240"/>
      </w:pPr>
      <w:r>
        <w:rPr>
          <w:rFonts w:ascii="Calibri" w:cs="Calibri" w:eastAsia="Calibri" w:hAnsi="Calibri"/>
          <w:b/>
          <w:bCs/>
          <w:color w:val="0B1B3F"/>
          <w:sz w:val="24"/>
          <w:szCs w:val="24"/>
        </w:rPr>
        <w:t xml:space="preserve">5. Information Security and Acceptable Use</w:t>
      </w:r>
    </w:p>
    <w:p>
      <w:pPr>
        <w:pStyle w:val="ListParagraph"/>
        <w:numPr>
          <w:ilvl w:val="0"/>
          <w:numId w:val="2"/>
        </w:numPr>
        <w:spacing w:after="80" w:line="290"/>
      </w:pPr>
      <w:r>
        <w:rPr>
          <w:rFonts w:ascii="Calibri" w:cs="Calibri" w:eastAsia="Calibri" w:hAnsi="Calibri"/>
          <w:sz w:val="22"/>
          <w:szCs w:val="22"/>
        </w:rPr>
        <w:t xml:space="preserve">Company laptops and accounts are for business use and are monitored as per policy.</w:t>
      </w:r>
    </w:p>
    <w:p>
      <w:pPr>
        <w:pStyle w:val="ListParagraph"/>
        <w:numPr>
          <w:ilvl w:val="0"/>
          <w:numId w:val="2"/>
        </w:numPr>
        <w:spacing w:after="80" w:line="290"/>
      </w:pPr>
      <w:r>
        <w:rPr>
          <w:rFonts w:ascii="Calibri" w:cs="Calibri" w:eastAsia="Calibri" w:hAnsi="Calibri"/>
          <w:sz w:val="22"/>
          <w:szCs w:val="22"/>
        </w:rPr>
        <w:t xml:space="preserve">Use only approved software, repositories, cloud services and AI tools; never upload client code or data to unapproved tools.</w:t>
      </w:r>
    </w:p>
    <w:p>
      <w:pPr>
        <w:pStyle w:val="ListParagraph"/>
        <w:numPr>
          <w:ilvl w:val="0"/>
          <w:numId w:val="2"/>
        </w:numPr>
        <w:spacing w:after="80" w:line="290"/>
      </w:pPr>
      <w:r>
        <w:rPr>
          <w:rFonts w:ascii="Calibri" w:cs="Calibri" w:eastAsia="Calibri" w:hAnsi="Calibri"/>
          <w:sz w:val="22"/>
          <w:szCs w:val="22"/>
        </w:rPr>
        <w:t xml:space="preserve">Lock screens when away, use multi-factor authentication and report phishing or security incidents immediately to </w:t>
      </w:r>
      <w:r>
        <w:rPr>
          <w:rFonts w:ascii="Calibri" w:cs="Calibri" w:eastAsia="Calibri" w:hAnsi="Calibri"/>
          <w:sz w:val="22"/>
          <w:szCs w:val="22"/>
          <w:highlight w:val="yellow"/>
        </w:rPr>
        <w:t xml:space="preserve">[Security Email]</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Do not use personal USB drives or email to transfer company or client information.</w:t>
      </w:r>
    </w:p>
    <w:p>
      <w:pPr>
        <w:pStyle w:val="Heading2"/>
        <w:spacing w:after="100" w:before="240"/>
      </w:pPr>
      <w:r>
        <w:rPr>
          <w:rFonts w:ascii="Calibri" w:cs="Calibri" w:eastAsia="Calibri" w:hAnsi="Calibri"/>
          <w:b/>
          <w:bCs/>
          <w:color w:val="0B1B3F"/>
          <w:sz w:val="24"/>
          <w:szCs w:val="24"/>
        </w:rPr>
        <w:t xml:space="preserve">6. Confidentiality, IP and Outside Work</w:t>
      </w:r>
    </w:p>
    <w:p>
      <w:pPr>
        <w:spacing w:after="160" w:line="300"/>
      </w:pPr>
      <w:r>
        <w:rPr>
          <w:rFonts w:ascii="Calibri" w:cs="Calibri" w:eastAsia="Calibri" w:hAnsi="Calibri"/>
          <w:sz w:val="22"/>
          <w:szCs w:val="22"/>
        </w:rPr>
        <w:t xml:space="preserve">All work created in the course of employment belongs to the company. Client and company information must be kept confidential during and after employment. Outside employment or freelance work requires prior written approval.</w:t>
      </w:r>
    </w:p>
    <w:p>
      <w:pPr>
        <w:pStyle w:val="Heading2"/>
        <w:spacing w:after="100" w:before="240"/>
      </w:pPr>
      <w:r>
        <w:rPr>
          <w:rFonts w:ascii="Calibri" w:cs="Calibri" w:eastAsia="Calibri" w:hAnsi="Calibri"/>
          <w:b/>
          <w:bCs/>
          <w:color w:val="0B1B3F"/>
          <w:sz w:val="24"/>
          <w:szCs w:val="24"/>
        </w:rPr>
        <w:t xml:space="preserve">7. Client Deployment and Travel</w:t>
      </w:r>
    </w:p>
    <w:p>
      <w:pPr>
        <w:spacing w:after="160" w:line="300"/>
      </w:pPr>
      <w:r>
        <w:rPr>
          <w:rFonts w:ascii="Calibri" w:cs="Calibri" w:eastAsia="Calibri" w:hAnsi="Calibri"/>
          <w:sz w:val="22"/>
          <w:szCs w:val="22"/>
        </w:rPr>
        <w:t xml:space="preserve">Employees may be deployed at client sites in India or abroad. At client sites, employees follow both company and client rules on security, conduct and attendance. Travel and stay are governed by the Travel Policy.</w:t>
      </w:r>
    </w:p>
    <w:p>
      <w:pPr>
        <w:pStyle w:val="Heading2"/>
        <w:spacing w:after="100" w:before="240"/>
      </w:pPr>
      <w:r>
        <w:rPr>
          <w:rFonts w:ascii="Calibri" w:cs="Calibri" w:eastAsia="Calibri" w:hAnsi="Calibri"/>
          <w:b/>
          <w:bCs/>
          <w:color w:val="0B1B3F"/>
          <w:sz w:val="24"/>
          <w:szCs w:val="24"/>
        </w:rPr>
        <w:t xml:space="preserve">8. Code of Conduct, POSH and Grievances</w:t>
      </w:r>
    </w:p>
    <w:p>
      <w:pPr>
        <w:spacing w:after="160" w:line="300"/>
      </w:pPr>
      <w:r>
        <w:rPr>
          <w:rFonts w:ascii="Calibri" w:cs="Calibri" w:eastAsia="Calibri" w:hAnsi="Calibri"/>
          <w:sz w:val="22"/>
          <w:szCs w:val="22"/>
        </w:rPr>
        <w:t xml:space="preserve">We expect honesty, respect and professionalism. Harassment and discrimination are not tolerated. Our Internal Committee under the POSH Act 2013 handles complaints of sexual harassment at </w:t>
      </w:r>
      <w:r>
        <w:rPr>
          <w:rFonts w:ascii="Calibri" w:cs="Calibri" w:eastAsia="Calibri" w:hAnsi="Calibri"/>
          <w:sz w:val="22"/>
          <w:szCs w:val="22"/>
          <w:highlight w:val="yellow"/>
        </w:rPr>
        <w:t xml:space="preserve">[IC Email]</w:t>
      </w:r>
      <w:r>
        <w:rPr>
          <w:rFonts w:ascii="Calibri" w:cs="Calibri" w:eastAsia="Calibri" w:hAnsi="Calibri"/>
          <w:sz w:val="22"/>
          <w:szCs w:val="22"/>
        </w:rPr>
        <w:t xml:space="preserve">. Other grievances may be raised with your manager, HR or </w:t>
      </w:r>
      <w:r>
        <w:rPr>
          <w:rFonts w:ascii="Calibri" w:cs="Calibri" w:eastAsia="Calibri" w:hAnsi="Calibri"/>
          <w:sz w:val="22"/>
          <w:szCs w:val="22"/>
          <w:highlight w:val="yellow"/>
        </w:rPr>
        <w:t xml:space="preserve">[Grievance Email]</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9. Disciplinary Process</w:t>
      </w:r>
    </w:p>
    <w:p>
      <w:pPr>
        <w:spacing w:after="160" w:line="300"/>
      </w:pPr>
      <w:r>
        <w:rPr>
          <w:rFonts w:ascii="Calibri" w:cs="Calibri" w:eastAsia="Calibri" w:hAnsi="Calibri"/>
          <w:sz w:val="22"/>
          <w:szCs w:val="22"/>
        </w:rPr>
        <w:t xml:space="preserve">Misconduct will be addressed through a fair process: facts are gathered, the employee is heard, and action is proportionate, as per the Disciplinary Policy.</w:t>
      </w:r>
    </w:p>
    <w:p>
      <w:pPr>
        <w:pStyle w:val="Heading2"/>
        <w:spacing w:after="100" w:before="240"/>
      </w:pPr>
      <w:r>
        <w:rPr>
          <w:rFonts w:ascii="Calibri" w:cs="Calibri" w:eastAsia="Calibri" w:hAnsi="Calibri"/>
          <w:b/>
          <w:bCs/>
          <w:color w:val="0B1B3F"/>
          <w:sz w:val="24"/>
          <w:szCs w:val="24"/>
        </w:rPr>
        <w:t xml:space="preserve">10. Separation</w:t>
      </w:r>
    </w:p>
    <w:p>
      <w:pPr>
        <w:spacing w:after="160" w:line="300"/>
      </w:pPr>
      <w:r>
        <w:rPr>
          <w:rFonts w:ascii="Calibri" w:cs="Calibri" w:eastAsia="Calibri" w:hAnsi="Calibri"/>
          <w:sz w:val="22"/>
          <w:szCs w:val="22"/>
        </w:rPr>
        <w:t xml:space="preserve">Employees resign through the HRMS and serve the notice period in their appointment letter. Exit includes knowledge transfer, asset return and access revocation, followed by full and final settlement and relieving documents.</w:t>
      </w:r>
    </w:p>
    <w:p>
      <w:pPr>
        <w:pStyle w:val="Heading2"/>
        <w:spacing w:after="100" w:before="240"/>
      </w:pPr>
      <w:r>
        <w:rPr>
          <w:rFonts w:ascii="Calibri" w:cs="Calibri" w:eastAsia="Calibri" w:hAnsi="Calibri"/>
          <w:b/>
          <w:bCs/>
          <w:color w:val="0B1B3F"/>
          <w:sz w:val="24"/>
          <w:szCs w:val="24"/>
        </w:rPr>
        <w:t xml:space="preserve">11. Review</w:t>
      </w:r>
    </w:p>
    <w:p>
      <w:pPr>
        <w:spacing w:after="160" w:line="300"/>
      </w:pPr>
      <w:r>
        <w:rPr>
          <w:rFonts w:ascii="Calibri" w:cs="Calibri" w:eastAsia="Calibri" w:hAnsi="Calibri"/>
          <w:sz w:val="22"/>
          <w:szCs w:val="22"/>
        </w:rPr>
        <w:t xml:space="preserve">HR reviews this handbook every year. Changes will be communicated by email and on the intranet.</w:t>
      </w:r>
      <w:r>
        <w:br/>
        <w:t xml:space="preserve"/>
      </w:r>
      <w:r>
        <w:rPr>
          <w:rFonts w:ascii="Calibri" w:cs="Calibri" w:eastAsia="Calibri" w:hAnsi="Calibri"/>
          <w:sz w:val="22"/>
          <w:szCs w:val="22"/>
        </w:rPr>
        <w:br/>
        <w:t xml:space="preserve">Acknowledgement: I have received, read and agree to follow this Employee Handbook.</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 Name: </w:t>
            </w:r>
            <w:r>
              <w:rPr>
                <w:rFonts w:ascii="Calibri" w:cs="Calibri" w:eastAsia="Calibri" w:hAnsi="Calibri"/>
                <w:sz w:val="22"/>
                <w:szCs w:val="22"/>
                <w:highlight w:val="yellow"/>
              </w:rP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Handbook for IT Company</dc:title>
  <dc:subject>IT company employee handbook in Word: work hours, hybrid work, leave, information security, acceptable use, IP, client deployment, POSH and exit process.</dc:subject>
  <dc:creator>BetterJobs.in</dc:creator>
  <cp:keywords>employee handbook for it company, it company handbook template, employee handbook template india word, software company employee handbook, hr policy manual it company</cp:keywords>
  <dc:description>Free Employee Handbook for IT Company template from BetterJobs.in — https://betterjobs.in/hr-templates/employee-handbook-for-it-company/</dc:description>
  <cp:lastModifiedBy>Un-named</cp:lastModifiedBy>
  <cp:revision>1</cp:revision>
  <dcterms:created xsi:type="dcterms:W3CDTF">2026-10-05T18:10:40.950Z</dcterms:created>
  <dcterms:modified xsi:type="dcterms:W3CDTF">2026-10-05T18:10:40.950Z</dcterms:modified>
</cp:coreProperties>
</file>

<file path=docProps/custom.xml><?xml version="1.0" encoding="utf-8"?>
<Properties xmlns="http://schemas.openxmlformats.org/officeDocument/2006/custom-properties" xmlns:vt="http://schemas.openxmlformats.org/officeDocument/2006/docPropsVTypes"/>
</file>