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[COMPANY NAME] EMPLOYEE HANDBOOK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Applies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All employees of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Welcome and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handbook explains how we work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what we expect from one another. It summarises key policies; detailed policies are available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Portal]</w:t>
      </w:r>
      <w:r>
        <w:rPr>
          <w:rFonts w:ascii="Calibri" w:cs="Calibri" w:eastAsia="Calibri" w:hAnsi="Calibri"/>
          <w:sz w:val="22"/>
          <w:szCs w:val="22"/>
        </w:rPr>
        <w:t xml:space="preserve">. Where the handbook differs from your appointment letter or applicable law, the appointment letter and law prevail.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About the Company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Brief history, vision, mission, values and organisation structure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Employment Basics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Categories of employment: permanent, fixed-term, trainee, intern, contract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and confirmation process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after confirmation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Personnel records and updating your details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Working Hours and Attendance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Office 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[Office Timings]</w:t>
      </w:r>
      <w:r>
        <w:rPr>
          <w:rFonts w:ascii="Calibri" w:cs="Calibri" w:eastAsia="Calibri" w:hAnsi="Calibri"/>
          <w:sz w:val="22"/>
          <w:szCs w:val="22"/>
        </w:rPr>
        <w:t xml:space="preserve">; weekly off: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[Weekly Off]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Shifts and overtime rules as per applicable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Attendance marking, late coming and regularisation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Work-from-home or hybrid rules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Leave and Holidays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Earned/privilege leave: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  <w:r>
        <w:rPr>
          <w:rFonts w:ascii="Calibri" w:cs="Calibri" w:eastAsia="Calibri" w:hAnsi="Calibri"/>
          <w:sz w:val="22"/>
          <w:szCs w:val="22"/>
        </w:rPr>
        <w:t xml:space="preserve"> per year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Casual and sick leave: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  <w:r>
        <w:rPr>
          <w:rFonts w:ascii="Calibri" w:cs="Calibri" w:eastAsia="Calibri" w:hAnsi="Calibri"/>
          <w:sz w:val="22"/>
          <w:szCs w:val="22"/>
        </w:rPr>
        <w:t xml:space="preserve"> per year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Maternity leave as per the Maternity Benefit Act; paternity leave: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Holiday list published every January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Pay and 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Salary paid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[Pay Date]</w:t>
      </w:r>
      <w:r>
        <w:rPr>
          <w:rFonts w:ascii="Calibri" w:cs="Calibri" w:eastAsia="Calibri" w:hAnsi="Calibri"/>
          <w:sz w:val="22"/>
          <w:szCs w:val="22"/>
        </w:rPr>
        <w:t xml:space="preserve"> by bank transfer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EPF at 12% of basic + DA each by employee and employer, subject to wage ceiling rules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ESI for eligible employees earning up to ₹21,000/month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Gratuity after 5 years of continuous service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Insurance, reimbursements and other benefits: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Code of Conduct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Employees must act honestly, avoid conflicts of interest, protect company property, follow gift rules and treat colleagues with respect. Details are in the Code of Conduct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Prevention of Sexual Harassment (POSH)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company has zero tolerance for sexual harassment. An Internal Committee is constituted under the POSH Act 2013. Presiding Officer: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Contact]</w:t>
      </w:r>
      <w:r>
        <w:rPr>
          <w:rFonts w:ascii="Calibri" w:cs="Calibri" w:eastAsia="Calibri" w:hAnsi="Calibri"/>
          <w:sz w:val="22"/>
          <w:szCs w:val="22"/>
        </w:rPr>
        <w:t xml:space="preserve">. Complaints are handled confidentially and without retaliation.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9. Equal Opportunity and Grievances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do not discriminate on any protected ground. Grievances may be raised with your manager, HR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[Grievance Channel]</w:t>
      </w:r>
      <w:r>
        <w:rPr>
          <w:rFonts w:ascii="Calibri" w:cs="Calibri" w:eastAsia="Calibri" w:hAnsi="Calibri"/>
          <w:sz w:val="22"/>
          <w:szCs w:val="22"/>
        </w:rPr>
        <w:t xml:space="preserve">; whistle-blower concerns may be sent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10. IT, Data and Confidentiality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Company devices and accounts are for business use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Protect passwords; report phishing and data loss immediately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Personal data of colleagues and customers must be handled lawfully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 information must not be shared outside the company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11. Health and Safety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Follow safety rules, use PPE where required, and report accidents and near-misses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[Safety Officer]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12. Travel and Expenses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Business travel must be pre-approved. Claims must be submitted with bills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as per the travel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13. Performance and Development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Goals are set at the start of the cycle, with mid-year and annual reviews. Training needs are discussed with your manager.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14. Discipline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Misconduct is handled through a fair process: written charge, opportunity to respond, inquiry where needed and a proportionate decision.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15. Separation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Resignation in writing with the applicable notice period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Handover, asset return and clearance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Full and final settlement and relieving letter as per policy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16. Amendments and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company may revise this handbook with notice to employees. Every employee must sign the handbook acknowledgement form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Handbook</dc:title>
  <dc:subject>Free employee handbook template for Indian companies in Word: 16 sections on conduct, hours, leave, pay, PF/ESI, POSH, IT, exit and more. Edit and issue.</dc:subject>
  <dc:creator>BetterJobs.in</dc:creator>
  <cp:keywords>employee handbook template, employee handbook india, employee handbook format in word, hr handbook for small company, staff handbook sample india, company handbook template</cp:keywords>
  <dc:description>Free Employee Handbook template from BetterJobs.in — https://betterjobs.in/hr-templates/employee-handbook/</dc:description>
  <cp:lastModifiedBy>Un-named</cp:lastModifiedBy>
  <cp:revision>1</cp:revision>
  <dcterms:created xsi:type="dcterms:W3CDTF">2026-10-05T17:52:28.688Z</dcterms:created>
  <dcterms:modified xsi:type="dcterms:W3CDTF">2026-10-05T17:52:28.688Z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