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REWARDS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out how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rewards employees for outstanding performance, behaviour aligned with company values, and contributions beyond their role, in a manner that is fair, transparent and within budget.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applies to all permanent and probationary employees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at all locations. Trainees and fixed-term employees are covered for non-monetary recognition; monetary rewards for them require HR head approval. Contract workers may be recognised through non-monetary means or through the contractor as per the service agreement.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Monetary reward: a cash payment through payroll, gift voucher or reward points with a ₹ value.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Non-monetary reward: certificates, public recognition, development opportunities or experiences.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Spot award: an immediate reward for a specific act, outside the appraisal cycle.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Periodic award: monthly, quarterly or annual awards decided against criteria.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Reward Types and Limits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Maximum Value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Spot 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Any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of the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Manager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 awards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Recognition Committee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awards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Yearly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Management Committee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Long service award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 milestone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Eligibility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must be in active service on the date of award.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with a pending disciplinary proceeding are not eligible until it is concluded.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Periodic awards require a minimum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of service.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Members of a selection panel may not take part in deciding their own team's awards.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Nominations are submitted on the prescribed nomination form.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checks eligibility and budget availability.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approving authority decides as per Section 4.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Rewards are recorded in the Employee Awards Register and processed in the next payroll cycle.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Taxation and Payroll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Monetary rewards are processed through payroll and are subject to tax deduction as applicable. Rewards are discretionary, one-time and do not form part of CTC or create any entitlement. Rewards under this policy are separate from statutory bonus.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Budget and Responsibilities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annual R&amp;R budget is set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of the salary bill and allocated by department. HR administers the policy and reports utilisation quarterly; managers nominate fairly; finance verifies payouts.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9.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Rewards granted outside this policy, misuse of rewards or false nominations may be withdrawn and dealt with under the company's code of conduct.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10.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every year or earlier if required by changes in law or business needs.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Managing Director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Rewards Policy</dc:title>
  <dc:subject>Free employee rewards policy in Word for Indian companies: reward types, eligibility, value limits, approval matrix, taxation, budget and governance.</dc:subject>
  <dc:creator>BetterJobs.in</dc:creator>
  <cp:keywords>employee rewards policy, reward and recognition policy, rewards and recognition policy template, employee reward policy india, r&amp;r policy format in word</cp:keywords>
  <dc:description>Free Employee Rewards Policy template from BetterJobs.in — https://betterjobs.in/hr-templates/employee-rewards-policy/</dc:description>
  <cp:lastModifiedBy>Un-named</cp:lastModifiedBy>
  <cp:revision>1</cp:revision>
  <dcterms:created xsi:type="dcterms:W3CDTF">2026-10-05T20:25:40.886Z</dcterms:created>
  <dcterms:modified xsi:type="dcterms:W3CDTF">2026-10-05T20:25:40.886Z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