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GRIEVANCE MANAGEMENT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committed to a fair workplace where employees can raise concerns without fear. This policy provides a clear, timely and confidential process to resolve work-related grievances.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applies to all employees, probationers, trainees and apprentices at all locations of the company. Contract workers may use it for workplace-related issues.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Grievance: any dissatisfaction or complaint by an employee relating to employment, such as pay, leave, working conditions, transfer, promotion or treatment at work.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 Redressal Committee (GRC): the committee constituted under this policy to review grievances.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Exclusions: complaints of sexual harassment (handled by the Internal Committee under the POSH policy), protected disclosures (handled under the Whistleblower Policy), and matters already under disciplinary proceedings.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 Principles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grievance will be heard fairly and decided on facts.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Grievances will be handled confidentially and shared only on a need-to-know basis.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employee will be victimised or treated unfavourably for raising a grievance in good faith or for being a witness. Retaliation is treated as misconduct.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may be accompanied by a fellow employee at hearings.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Stage 1 – Informal: the employee raises the issue with the reporting manager, who aims to resolve it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Stage 2 – Formal: if unresolved, or if the issue involves the manager, the employee submits the Employee Grievance Form to HR. HR acknowledges it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with a case number.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Stage 3 – Review: HR or the GRC reviews the grievance, holds a hearing and, where needed, an investigation. A written decision is given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of the hearing.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Stage 4 – Appeal: the employee may appeal in writing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[Appeal Authority]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 The appeal decision is final within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Closure: HR issues a closure letter once actions are complete and records it in the complaint register.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Grievance Redressal Committee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GRC consists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members with equal representation of management and employees,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as Chairperson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Designation]</w:t>
      </w:r>
      <w:r>
        <w:rPr>
          <w:rFonts w:ascii="Calibri" w:cs="Calibri" w:eastAsia="Calibri" w:hAnsi="Calibri"/>
          <w:sz w:val="22"/>
          <w:szCs w:val="22"/>
        </w:rPr>
        <w:t xml:space="preserve"> as Secretary. Women employees will be represented on the GRC. Members with a conflict of interest in a case will step aside.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raise grievances honestly and cooperate with the process.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listen, try to resolve informally and never discourage a formal grievance.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register, acknowledge, coordinate hearings, maintain records and monitor for retaliation.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GRC: review grievances impartially and recommend fair outcomes.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Retaliation against any employee, breach of confidentiality, or knowingly false grievances made with malicious intent may lead to action under the company's disciplinary procedure after due process.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Records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maintain a complaint register and confidential case files and retain them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every year or earlier on changes in law, including rules under the Labour Codes notified by the Centre and the state.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Management Policy</dc:title>
  <dc:subject>Free grievance management policy in Word for Indian companies: scope, definitions, stages, timelines, committee, appeals, confidentiality and non-retaliation.</dc:subject>
  <dc:creator>BetterJobs.in</dc:creator>
  <cp:keywords>grievance management policy, grievance redressal policy for employees, grievance policy template india, employee grievance handling policy word, grievance procedure policy sample</cp:keywords>
  <dc:description>Free Grievance Management Policy template from BetterJobs.in — https://betterjobs.in/hr-templates/grievance-management-policy/</dc:description>
  <cp:lastModifiedBy>Un-named</cp:lastModifiedBy>
  <cp:revision>1</cp:revision>
  <dcterms:created xsi:type="dcterms:W3CDTF">2026-10-05T19:04:20.122Z</dcterms:created>
  <dcterms:modified xsi:type="dcterms:W3CDTF">2026-10-05T19:04:20.122Z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