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ROLE CHANGE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Raised: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Raised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Current vs Proposed Role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[Proposed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[Proposed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[Proposed 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[Proposed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[Cost Centre]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[Proposed Cost Centre]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Size Managed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Justification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Role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New Responsibilities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Responsibilities Being Handed Over and To Whom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in CTC (Yes / No) and Proposed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Needed for New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Employee Consultation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Discussed with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Employee's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and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Rejected]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[Signature, 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Business Partner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Rejected]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[Signature, 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(if CTC changes)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/ Rejected]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[Signature, 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this request is raised for genuine business reasons, that the employee has been consulted, and that the information above is accurate. I understand that the role change takes effect only after HR issues a written letter to the employee.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Change Request</dc:title>
  <dc:subject>Free role change request form in Word: manager-raised request to change an employee's role, with justification, cost impact and HR and finance approvals.</dc:subject>
  <dc:creator>BetterJobs.in</dc:creator>
  <cp:keywords>role change request form, role change request template, employee role change form, change of role approval form india, job role change request format word, position change request form</cp:keywords>
  <dc:description>Free Role Change Request template from BetterJobs.in — https://betterjobs.in/hr-templates/role-change-request/</dc:description>
  <cp:lastModifiedBy>Un-named</cp:lastModifiedBy>
  <cp:revision>1</cp:revision>
  <dcterms:created xsi:type="dcterms:W3CDTF">2026-10-05T17:57:59.506Z</dcterms:created>
  <dcterms:modified xsi:type="dcterms:W3CDTF">2026-10-05T17:57:59.506Z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