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SALARY STRUCTURE – GRADE-WISE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From:</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Prepared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[HR Name]</w:t>
            </w:r>
          </w:p>
        </w:tc>
      </w:tr>
    </w:tbl>
    <w:p/>
    <w:p>
      <w:pPr>
        <w:pStyle w:val="Heading2"/>
        <w:spacing w:after="100" w:before="240"/>
      </w:pPr>
      <w:r>
        <w:rPr>
          <w:rFonts w:ascii="Calibri" w:cs="Calibri" w:eastAsia="Calibri" w:hAnsi="Calibri"/>
          <w:b/>
          <w:bCs/>
          <w:color w:val="0B1B3F"/>
          <w:sz w:val="24"/>
          <w:szCs w:val="24"/>
        </w:rPr>
        <w:t xml:space="preserve">1. Component Rules</w:t>
      </w:r>
    </w:p>
    <w:p>
      <w:pPr>
        <w:pStyle w:val="ListParagraph"/>
        <w:numPr>
          <w:ilvl w:val="0"/>
          <w:numId w:val="1"/>
        </w:numPr>
        <w:spacing w:after="80" w:line="290"/>
      </w:pPr>
      <w:r>
        <w:rPr>
          <w:rFonts w:ascii="Calibri" w:cs="Calibri" w:eastAsia="Calibri" w:hAnsi="Calibri"/>
          <w:sz w:val="22"/>
          <w:szCs w:val="22"/>
        </w:rPr>
        <w:t xml:space="preserve">Basic Salary: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of CTC</w:t>
      </w:r>
    </w:p>
    <w:p>
      <w:pPr>
        <w:pStyle w:val="ListParagraph"/>
        <w:numPr>
          <w:ilvl w:val="0"/>
          <w:numId w:val="1"/>
        </w:numPr>
        <w:spacing w:after="80" w:line="290"/>
      </w:pPr>
      <w:r>
        <w:rPr>
          <w:rFonts w:ascii="Calibri" w:cs="Calibri" w:eastAsia="Calibri" w:hAnsi="Calibri"/>
          <w:sz w:val="22"/>
          <w:szCs w:val="22"/>
        </w:rPr>
        <w:t xml:space="preserve">HRA: </w:t>
      </w:r>
      <w:r>
        <w:rPr>
          <w:rFonts w:ascii="Calibri" w:cs="Calibri" w:eastAsia="Calibri" w:hAnsi="Calibri"/>
          <w:sz w:val="22"/>
          <w:szCs w:val="22"/>
          <w:highlight w:val="yellow"/>
        </w:rPr>
        <w:t xml:space="preserve">[Percentage]</w:t>
      </w:r>
      <w:r>
        <w:rPr>
          <w:rFonts w:ascii="Calibri" w:cs="Calibri" w:eastAsia="Calibri" w:hAnsi="Calibri"/>
          <w:sz w:val="22"/>
          <w:szCs w:val="22"/>
        </w:rPr>
        <w:t xml:space="preserve">% of Basic (metro / non-metro as per policy)</w:t>
      </w:r>
    </w:p>
    <w:p>
      <w:pPr>
        <w:pStyle w:val="ListParagraph"/>
        <w:numPr>
          <w:ilvl w:val="0"/>
          <w:numId w:val="1"/>
        </w:numPr>
        <w:spacing w:after="80" w:line="290"/>
      </w:pPr>
      <w:r>
        <w:rPr>
          <w:rFonts w:ascii="Calibri" w:cs="Calibri" w:eastAsia="Calibri" w:hAnsi="Calibri"/>
          <w:sz w:val="22"/>
          <w:szCs w:val="22"/>
        </w:rPr>
        <w:t xml:space="preserve">Special Allowance: balancing figure after all fixed components</w:t>
      </w:r>
    </w:p>
    <w:p>
      <w:pPr>
        <w:pStyle w:val="ListParagraph"/>
        <w:numPr>
          <w:ilvl w:val="0"/>
          <w:numId w:val="1"/>
        </w:numPr>
        <w:spacing w:after="80" w:line="290"/>
      </w:pPr>
      <w:r>
        <w:rPr>
          <w:rFonts w:ascii="Calibri" w:cs="Calibri" w:eastAsia="Calibri" w:hAnsi="Calibri"/>
          <w:sz w:val="22"/>
          <w:szCs w:val="22"/>
        </w:rPr>
        <w:t xml:space="preserve">Employer PF: 12% of Basic + DA, subject to wage ceiling rules as per policy</w:t>
      </w:r>
    </w:p>
    <w:p>
      <w:pPr>
        <w:pStyle w:val="ListParagraph"/>
        <w:numPr>
          <w:ilvl w:val="0"/>
          <w:numId w:val="1"/>
        </w:numPr>
        <w:spacing w:after="80" w:line="290"/>
      </w:pPr>
      <w:r>
        <w:rPr>
          <w:rFonts w:ascii="Calibri" w:cs="Calibri" w:eastAsia="Calibri" w:hAnsi="Calibri"/>
          <w:sz w:val="22"/>
          <w:szCs w:val="22"/>
        </w:rPr>
        <w:t xml:space="preserve">Employer ESI: 3.25% of gross for employees earning up to ₹21,000/month</w:t>
      </w:r>
    </w:p>
    <w:p>
      <w:pPr>
        <w:pStyle w:val="ListParagraph"/>
        <w:numPr>
          <w:ilvl w:val="0"/>
          <w:numId w:val="1"/>
        </w:numPr>
        <w:spacing w:after="80" w:line="290"/>
      </w:pPr>
      <w:r>
        <w:rPr>
          <w:rFonts w:ascii="Calibri" w:cs="Calibri" w:eastAsia="Calibri" w:hAnsi="Calibri"/>
          <w:sz w:val="22"/>
          <w:szCs w:val="22"/>
        </w:rPr>
        <w:t xml:space="preserve">Gratuity provision: as per company policy, payable after 5 years' continuous service</w:t>
      </w:r>
    </w:p>
    <w:p>
      <w:pPr>
        <w:pStyle w:val="Heading2"/>
        <w:spacing w:after="100" w:before="240"/>
      </w:pPr>
      <w:r>
        <w:rPr>
          <w:rFonts w:ascii="Calibri" w:cs="Calibri" w:eastAsia="Calibri" w:hAnsi="Calibri"/>
          <w:b/>
          <w:bCs/>
          <w:color w:val="0B1B3F"/>
          <w:sz w:val="24"/>
          <w:szCs w:val="24"/>
        </w:rPr>
        <w:t xml:space="preserve">2. Monthly Structure by Grade (₹)</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w:t>
            </w:r>
            <w:r>
              <w:rPr>
                <w:rFonts w:ascii="Calibri" w:cs="Calibri" w:eastAsia="Calibri" w:hAnsi="Calibri"/>
                <w:b/>
                <w:bCs/>
                <w:sz w:val="20"/>
                <w:szCs w:val="20"/>
                <w:highlight w:val="yellow"/>
              </w:rPr>
              <w:t xml:space="preserve">[G1]</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w:t>
            </w:r>
            <w:r>
              <w:rPr>
                <w:rFonts w:ascii="Calibri" w:cs="Calibri" w:eastAsia="Calibri" w:hAnsi="Calibri"/>
                <w:b/>
                <w:bCs/>
                <w:sz w:val="20"/>
                <w:szCs w:val="20"/>
                <w:highlight w:val="yellow"/>
              </w:rPr>
              <w:t xml:space="preserve">[G2]</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w:t>
            </w:r>
            <w:r>
              <w:rPr>
                <w:rFonts w:ascii="Calibri" w:cs="Calibri" w:eastAsia="Calibri" w:hAnsi="Calibri"/>
                <w:b/>
                <w:bCs/>
                <w:sz w:val="20"/>
                <w:szCs w:val="20"/>
                <w:highlight w:val="yellow"/>
              </w:rPr>
              <w:t xml:space="preserve">[G3]</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w:t>
            </w:r>
            <w:r>
              <w:rPr>
                <w:rFonts w:ascii="Calibri" w:cs="Calibri" w:eastAsia="Calibri" w:hAnsi="Calibri"/>
                <w:b/>
                <w:bCs/>
                <w:sz w:val="20"/>
                <w:szCs w:val="20"/>
                <w:highlight w:val="yellow"/>
              </w:rPr>
              <w:t xml:space="preserve">[G4]</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Conveyance / Transport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Gross Salary (A)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ESI (if applicable)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N/A</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Provision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Contributions (B)</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 CTC (A + B)</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3. Estimated Deductions and In-hand (₹ per month)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941"/>
        <w:gridCol w:w="1941"/>
        <w:gridCol w:w="1941"/>
        <w:gridCol w:w="1941"/>
        <w:gridCol w:w="1941"/>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Deduction</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w:t>
            </w:r>
            <w:r>
              <w:rPr>
                <w:rFonts w:ascii="Calibri" w:cs="Calibri" w:eastAsia="Calibri" w:hAnsi="Calibri"/>
                <w:b/>
                <w:bCs/>
                <w:sz w:val="20"/>
                <w:szCs w:val="20"/>
                <w:highlight w:val="yellow"/>
              </w:rPr>
              <w:t xml:space="preserve">[G1]</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w:t>
            </w:r>
            <w:r>
              <w:rPr>
                <w:rFonts w:ascii="Calibri" w:cs="Calibri" w:eastAsia="Calibri" w:hAnsi="Calibri"/>
                <w:b/>
                <w:bCs/>
                <w:sz w:val="20"/>
                <w:szCs w:val="20"/>
                <w:highlight w:val="yellow"/>
              </w:rPr>
              <w:t xml:space="preserve">[G2]</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w:t>
            </w:r>
            <w:r>
              <w:rPr>
                <w:rFonts w:ascii="Calibri" w:cs="Calibri" w:eastAsia="Calibri" w:hAnsi="Calibri"/>
                <w:b/>
                <w:bCs/>
                <w:sz w:val="20"/>
                <w:szCs w:val="20"/>
                <w:highlight w:val="yellow"/>
              </w:rPr>
              <w:t xml:space="preserve">[G3]</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Grade </w:t>
            </w:r>
            <w:r>
              <w:rPr>
                <w:rFonts w:ascii="Calibri" w:cs="Calibri" w:eastAsia="Calibri" w:hAnsi="Calibri"/>
                <w:b/>
                <w:bCs/>
                <w:sz w:val="20"/>
                <w:szCs w:val="20"/>
                <w:highlight w:val="yellow"/>
              </w:rPr>
              <w:t xml:space="preserve">[G4]</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PF (12%)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Employee ESI (0.75%)</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N/A</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Professional Tax (</w:t>
            </w:r>
            <w:r>
              <w:rPr>
                <w:rFonts w:ascii="Calibri" w:cs="Calibri" w:eastAsia="Calibri" w:hAnsi="Calibri"/>
                <w:b w:val="false"/>
                <w:bCs w:val="false"/>
                <w:sz w:val="20"/>
                <w:szCs w:val="20"/>
                <w:highlight w:val="yellow"/>
              </w:rPr>
              <w:t xml:space="preserve">[State]</w:t>
            </w:r>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TDS (estimated, as per declaration)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Estimated Net Pay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pStyle w:val="Heading2"/>
        <w:spacing w:after="100" w:before="240"/>
      </w:pPr>
      <w:r>
        <w:rPr>
          <w:rFonts w:ascii="Calibri" w:cs="Calibri" w:eastAsia="Calibri" w:hAnsi="Calibri"/>
          <w:b/>
          <w:bCs/>
          <w:color w:val="0B1B3F"/>
          <w:sz w:val="24"/>
          <w:szCs w:val="24"/>
        </w:rPr>
        <w:t xml:space="preserve">4. Notes</w:t>
      </w:r>
    </w:p>
    <w:p>
      <w:pPr>
        <w:spacing w:after="160" w:line="300"/>
      </w:pPr>
      <w:r>
        <w:rPr>
          <w:rFonts w:ascii="Calibri" w:cs="Calibri" w:eastAsia="Calibri" w:hAnsi="Calibri"/>
          <w:sz w:val="22"/>
          <w:szCs w:val="22"/>
        </w:rPr>
        <w:t xml:space="preserve">Variable pay, performance bonus and reimbursements (fuel, telephone, meal cards) are outside this fixed structure and are governed by separate policies. TDS shown is indicative only and depends on the tax regime and declarations of each employee. This structure applies to all employees joining or revised on or after the effective date.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3235"/>
        <w:gridCol w:w="3235"/>
        <w:gridCol w:w="3235"/>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Prepared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HR Department</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Reviewed by</w:t>
            </w:r>
            <w:r>
              <w:rPr>
                <w:rFonts w:ascii="Calibri" w:cs="Calibri" w:eastAsia="Calibri" w:hAnsi="Calibri"/>
                <w:sz w:val="22"/>
                <w:szCs w:val="22"/>
                <w:highlight w:val="yellow"/>
              </w:rPr>
              <w:br/>
              <w:t xml:space="preserve">[Finance Head Name]</w:t>
            </w:r>
            <w:r>
              <w:rPr>
                <w:rFonts w:ascii="Calibri" w:cs="Calibri" w:eastAsia="Calibri" w:hAnsi="Calibri"/>
                <w:sz w:val="22"/>
                <w:szCs w:val="22"/>
              </w:rPr>
              <w:br/>
              <w:t xml:space="preserve">Finance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Salary Structure Format</dc:title>
  <dc:subject>Free salary structure format in Word for Indian companies: grade-wise Basic, HRA, special allowance, PF, ESI, gratuity and CTC columns. Edit and use today.</dc:subject>
  <dc:creator>BetterJobs.in</dc:creator>
  <cp:keywords>salary structure format, salary structure format in word, salary structure template india, grade wise salary structure, salary structure sample for company, pay structure format excel word</cp:keywords>
  <dc:description>Free Salary Structure Format template from BetterJobs.in — https://betterjobs.in/hr-templates/salary-structure-format/</dc:description>
  <cp:lastModifiedBy>Un-named</cp:lastModifiedBy>
  <cp:revision>1</cp:revision>
  <dcterms:created xsi:type="dcterms:W3CDTF">2026-10-05T17:57:59.840Z</dcterms:created>
  <dcterms:modified xsi:type="dcterms:W3CDTF">2026-10-05T17:57:59.840Z</dcterms:modified>
</cp:coreProperties>
</file>

<file path=docProps/custom.xml><?xml version="1.0" encoding="utf-8"?>
<Properties xmlns="http://schemas.openxmlformats.org/officeDocument/2006/custom-properties" xmlns:vt="http://schemas.openxmlformats.org/officeDocument/2006/docPropsVTypes"/>
</file>