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STRUCTURE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Revised Salary Structure Effective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[Effective Date]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As part of a company-wide review of our compensation framework,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updating the way salary components are structured. The purpose of this change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 – e.g. to align our wage components with applicable labour law and simplify payroll]</w:t>
      </w:r>
      <w:r>
        <w:rPr>
          <w:rFonts w:ascii="Calibri" w:cs="Calibri" w:eastAsia="Calibri" w:hAnsi="Calibri"/>
          <w:sz w:val="22"/>
          <w:szCs w:val="22"/>
        </w:rPr>
        <w:t xml:space="preserve">. Your total annual Cost to Company remains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; only the distribution between components is changing.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Monthly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 Rent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Travel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Provision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Estimated Net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this means for you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PF contribution and the employer PF contribution will be calculated on the revised Basic.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estimated monthly take-home may change by about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because of higher statutory contributions.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gratuity entitlement, when eligible, will be calculated on the revised wages.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other terms of your appointment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revised structure will be reflected in your salary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. If you have any questions,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Kindly sign and return the duplicate copy of this letter as acknowledgement.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Structure Letter</dc:title>
  <dc:subject>Free salary structure letter in Word to inform employees of a new or restructured pay structure with unchanged CTC, revised components and effective date.</dc:subject>
  <dc:creator>BetterJobs.in</dc:creator>
  <cp:keywords>salary structure letter, salary restructuring letter to employees, salary structure change letter format, new salary structure letter, salary component change letter, salary structure letter word</cp:keywords>
  <dc:description>Free Salary Structure Letter template from BetterJobs.in — https://betterjobs.in/hr-templates/salary-structure-letter/</dc:description>
  <cp:lastModifiedBy>Un-named</cp:lastModifiedBy>
  <cp:revision>1</cp:revision>
  <dcterms:created xsi:type="dcterms:W3CDTF">2026-10-05T17:59:06.829Z</dcterms:created>
  <dcterms:modified xsi:type="dcterms:W3CDTF">2026-10-05T17:59:06.829Z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