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WORKPLACE CONDUCT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Human Resources</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rPr>
        <w:t xml:space="preserve">This policy sets out the standards of conduct expected of every person working for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so that our workplace is safe, respectful and professional, and so that concerns are addressed fairly and consistently.</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This policy applies to all employees, trainees, interns and contract staff at all locations of the company, including remote work, client sites, business travel, work-related events and online communication on company platforms. It supplements, and does not override, the company's Standing Orders.</w:t>
      </w:r>
    </w:p>
    <w:p>
      <w:pPr>
        <w:pStyle w:val="Heading2"/>
        <w:spacing w:after="100" w:before="240"/>
      </w:pPr>
      <w:r>
        <w:rPr>
          <w:rFonts w:ascii="Calibri" w:cs="Calibri" w:eastAsia="Calibri" w:hAnsi="Calibri"/>
          <w:b/>
          <w:bCs/>
          <w:color w:val="0B1B3F"/>
          <w:sz w:val="24"/>
          <w:szCs w:val="24"/>
        </w:rPr>
        <w:t xml:space="preserve">3. Definitions</w:t>
      </w:r>
    </w:p>
    <w:p>
      <w:pPr>
        <w:pStyle w:val="ListParagraph"/>
        <w:numPr>
          <w:ilvl w:val="0"/>
          <w:numId w:val="1"/>
        </w:numPr>
        <w:spacing w:after="80" w:line="290"/>
      </w:pPr>
      <w:r>
        <w:rPr>
          <w:rFonts w:ascii="Calibri" w:cs="Calibri" w:eastAsia="Calibri" w:hAnsi="Calibri"/>
          <w:sz w:val="22"/>
          <w:szCs w:val="22"/>
        </w:rPr>
        <w:t xml:space="preserve">Workplace: any place visited by an employee arising out of or during the course of employment.</w:t>
      </w:r>
    </w:p>
    <w:p>
      <w:pPr>
        <w:pStyle w:val="ListParagraph"/>
        <w:numPr>
          <w:ilvl w:val="0"/>
          <w:numId w:val="1"/>
        </w:numPr>
        <w:spacing w:after="80" w:line="290"/>
      </w:pPr>
      <w:r>
        <w:rPr>
          <w:rFonts w:ascii="Calibri" w:cs="Calibri" w:eastAsia="Calibri" w:hAnsi="Calibri"/>
          <w:sz w:val="22"/>
          <w:szCs w:val="22"/>
        </w:rPr>
        <w:t xml:space="preserve">Misconduct: any act or omission listed as misconduct in the Standing Orders or this policy.</w:t>
      </w:r>
    </w:p>
    <w:p>
      <w:pPr>
        <w:pStyle w:val="ListParagraph"/>
        <w:numPr>
          <w:ilvl w:val="0"/>
          <w:numId w:val="1"/>
        </w:numPr>
        <w:spacing w:after="80" w:line="290"/>
      </w:pPr>
      <w:r>
        <w:rPr>
          <w:rFonts w:ascii="Calibri" w:cs="Calibri" w:eastAsia="Calibri" w:hAnsi="Calibri"/>
          <w:sz w:val="22"/>
          <w:szCs w:val="22"/>
        </w:rPr>
        <w:t xml:space="preserve">Reporting Manager: the person to whom an employee reports as per company records.</w:t>
      </w:r>
    </w:p>
    <w:p>
      <w:pPr>
        <w:pStyle w:val="Heading2"/>
        <w:spacing w:after="100" w:before="240"/>
      </w:pPr>
      <w:r>
        <w:rPr>
          <w:rFonts w:ascii="Calibri" w:cs="Calibri" w:eastAsia="Calibri" w:hAnsi="Calibri"/>
          <w:b/>
          <w:bCs/>
          <w:color w:val="0B1B3F"/>
          <w:sz w:val="24"/>
          <w:szCs w:val="24"/>
        </w:rPr>
        <w:t xml:space="preserve">4. Expected Conduct</w:t>
      </w:r>
    </w:p>
    <w:p>
      <w:pPr>
        <w:pStyle w:val="ListParagraph"/>
        <w:numPr>
          <w:ilvl w:val="0"/>
          <w:numId w:val="2"/>
        </w:numPr>
        <w:spacing w:after="80" w:line="290"/>
      </w:pPr>
      <w:r>
        <w:rPr>
          <w:rFonts w:ascii="Calibri" w:cs="Calibri" w:eastAsia="Calibri" w:hAnsi="Calibri"/>
          <w:sz w:val="22"/>
          <w:szCs w:val="22"/>
        </w:rPr>
        <w:t xml:space="preserve">Treat colleagues, customers, vendors and visitors with courtesy and dignity.</w:t>
      </w:r>
    </w:p>
    <w:p>
      <w:pPr>
        <w:pStyle w:val="ListParagraph"/>
        <w:numPr>
          <w:ilvl w:val="0"/>
          <w:numId w:val="2"/>
        </w:numPr>
        <w:spacing w:after="80" w:line="290"/>
      </w:pPr>
      <w:r>
        <w:rPr>
          <w:rFonts w:ascii="Calibri" w:cs="Calibri" w:eastAsia="Calibri" w:hAnsi="Calibri"/>
          <w:sz w:val="22"/>
          <w:szCs w:val="22"/>
        </w:rPr>
        <w:t xml:space="preserve">Act honestly and avoid conflicts of interest; disclose any that arise.</w:t>
      </w:r>
    </w:p>
    <w:p>
      <w:pPr>
        <w:pStyle w:val="ListParagraph"/>
        <w:numPr>
          <w:ilvl w:val="0"/>
          <w:numId w:val="2"/>
        </w:numPr>
        <w:spacing w:after="80" w:line="290"/>
      </w:pPr>
      <w:r>
        <w:rPr>
          <w:rFonts w:ascii="Calibri" w:cs="Calibri" w:eastAsia="Calibri" w:hAnsi="Calibri"/>
          <w:sz w:val="22"/>
          <w:szCs w:val="22"/>
        </w:rPr>
        <w:t xml:space="preserve">Report for work on time and follow attendance and leave procedures.</w:t>
      </w:r>
    </w:p>
    <w:p>
      <w:pPr>
        <w:pStyle w:val="ListParagraph"/>
        <w:numPr>
          <w:ilvl w:val="0"/>
          <w:numId w:val="2"/>
        </w:numPr>
        <w:spacing w:after="80" w:line="290"/>
      </w:pPr>
      <w:r>
        <w:rPr>
          <w:rFonts w:ascii="Calibri" w:cs="Calibri" w:eastAsia="Calibri" w:hAnsi="Calibri"/>
          <w:sz w:val="22"/>
          <w:szCs w:val="22"/>
        </w:rPr>
        <w:t xml:space="preserve">Follow safety rules, SOPs and use prescribed PPE where applicable.</w:t>
      </w:r>
    </w:p>
    <w:p>
      <w:pPr>
        <w:pStyle w:val="ListParagraph"/>
        <w:numPr>
          <w:ilvl w:val="0"/>
          <w:numId w:val="2"/>
        </w:numPr>
        <w:spacing w:after="80" w:line="290"/>
      </w:pPr>
      <w:r>
        <w:rPr>
          <w:rFonts w:ascii="Calibri" w:cs="Calibri" w:eastAsia="Calibri" w:hAnsi="Calibri"/>
          <w:sz w:val="22"/>
          <w:szCs w:val="22"/>
        </w:rPr>
        <w:t xml:space="preserve">Protect company and client information and assets.</w:t>
      </w:r>
    </w:p>
    <w:p>
      <w:pPr>
        <w:pStyle w:val="ListParagraph"/>
        <w:numPr>
          <w:ilvl w:val="0"/>
          <w:numId w:val="2"/>
        </w:numPr>
        <w:spacing w:after="80" w:line="290"/>
      </w:pPr>
      <w:r>
        <w:rPr>
          <w:rFonts w:ascii="Calibri" w:cs="Calibri" w:eastAsia="Calibri" w:hAnsi="Calibri"/>
          <w:sz w:val="22"/>
          <w:szCs w:val="22"/>
        </w:rPr>
        <w:t xml:space="preserve">Follow lawful and reasonable instructions, and raise disagreements through proper channels.</w:t>
      </w:r>
    </w:p>
    <w:p>
      <w:pPr>
        <w:pStyle w:val="Heading2"/>
        <w:spacing w:after="100" w:before="240"/>
      </w:pPr>
      <w:r>
        <w:rPr>
          <w:rFonts w:ascii="Calibri" w:cs="Calibri" w:eastAsia="Calibri" w:hAnsi="Calibri"/>
          <w:b/>
          <w:bCs/>
          <w:color w:val="0B1B3F"/>
          <w:sz w:val="24"/>
          <w:szCs w:val="24"/>
        </w:rPr>
        <w:t xml:space="preserve">5. Prohibited Conduct</w:t>
      </w:r>
    </w:p>
    <w:p>
      <w:pPr>
        <w:pStyle w:val="ListParagraph"/>
        <w:numPr>
          <w:ilvl w:val="0"/>
          <w:numId w:val="2"/>
        </w:numPr>
        <w:spacing w:after="80" w:line="290"/>
      </w:pPr>
      <w:r>
        <w:rPr>
          <w:rFonts w:ascii="Calibri" w:cs="Calibri" w:eastAsia="Calibri" w:hAnsi="Calibri"/>
          <w:sz w:val="22"/>
          <w:szCs w:val="22"/>
        </w:rPr>
        <w:t xml:space="preserve">Abusive, threatening or violent language or behaviour.</w:t>
      </w:r>
    </w:p>
    <w:p>
      <w:pPr>
        <w:pStyle w:val="ListParagraph"/>
        <w:numPr>
          <w:ilvl w:val="0"/>
          <w:numId w:val="2"/>
        </w:numPr>
        <w:spacing w:after="80" w:line="290"/>
      </w:pPr>
      <w:r>
        <w:rPr>
          <w:rFonts w:ascii="Calibri" w:cs="Calibri" w:eastAsia="Calibri" w:hAnsi="Calibri"/>
          <w:sz w:val="22"/>
          <w:szCs w:val="22"/>
        </w:rPr>
        <w:t xml:space="preserve">Harassment or discrimination of any kind, including sexual harassment.</w:t>
      </w:r>
    </w:p>
    <w:p>
      <w:pPr>
        <w:pStyle w:val="ListParagraph"/>
        <w:numPr>
          <w:ilvl w:val="0"/>
          <w:numId w:val="2"/>
        </w:numPr>
        <w:spacing w:after="80" w:line="290"/>
      </w:pPr>
      <w:r>
        <w:rPr>
          <w:rFonts w:ascii="Calibri" w:cs="Calibri" w:eastAsia="Calibri" w:hAnsi="Calibri"/>
          <w:sz w:val="22"/>
          <w:szCs w:val="22"/>
        </w:rPr>
        <w:t xml:space="preserve">Theft, fraud, falsification of records or misuse of company assets.</w:t>
      </w:r>
    </w:p>
    <w:p>
      <w:pPr>
        <w:pStyle w:val="ListParagraph"/>
        <w:numPr>
          <w:ilvl w:val="0"/>
          <w:numId w:val="2"/>
        </w:numPr>
        <w:spacing w:after="80" w:line="290"/>
      </w:pPr>
      <w:r>
        <w:rPr>
          <w:rFonts w:ascii="Calibri" w:cs="Calibri" w:eastAsia="Calibri" w:hAnsi="Calibri"/>
          <w:sz w:val="22"/>
          <w:szCs w:val="22"/>
        </w:rPr>
        <w:t xml:space="preserve">Reporting to work under the influence of alcohol or drugs.</w:t>
      </w:r>
    </w:p>
    <w:p>
      <w:pPr>
        <w:pStyle w:val="ListParagraph"/>
        <w:numPr>
          <w:ilvl w:val="0"/>
          <w:numId w:val="2"/>
        </w:numPr>
        <w:spacing w:after="80" w:line="290"/>
      </w:pPr>
      <w:r>
        <w:rPr>
          <w:rFonts w:ascii="Calibri" w:cs="Calibri" w:eastAsia="Calibri" w:hAnsi="Calibri"/>
          <w:sz w:val="22"/>
          <w:szCs w:val="22"/>
        </w:rPr>
        <w:t xml:space="preserve">Unauthorised disclosure of confidential information.</w:t>
      </w:r>
    </w:p>
    <w:p>
      <w:pPr>
        <w:pStyle w:val="ListParagraph"/>
        <w:numPr>
          <w:ilvl w:val="0"/>
          <w:numId w:val="2"/>
        </w:numPr>
        <w:spacing w:after="80" w:line="290"/>
      </w:pPr>
      <w:r>
        <w:rPr>
          <w:rFonts w:ascii="Calibri" w:cs="Calibri" w:eastAsia="Calibri" w:hAnsi="Calibri"/>
          <w:sz w:val="22"/>
          <w:szCs w:val="22"/>
        </w:rPr>
        <w:t xml:space="preserve">Wilful disobedience of lawful and reasonable instructions.</w:t>
      </w:r>
    </w:p>
    <w:p>
      <w:pPr>
        <w:pStyle w:val="ListParagraph"/>
        <w:numPr>
          <w:ilvl w:val="0"/>
          <w:numId w:val="2"/>
        </w:numPr>
        <w:spacing w:after="80" w:line="290"/>
      </w:pPr>
      <w:r>
        <w:rPr>
          <w:rFonts w:ascii="Calibri" w:cs="Calibri" w:eastAsia="Calibri" w:hAnsi="Calibri"/>
          <w:sz w:val="22"/>
          <w:szCs w:val="22"/>
        </w:rPr>
        <w:t xml:space="preserve">Any other act listed as misconduct in the Standing Orders.</w:t>
      </w:r>
    </w:p>
    <w:p>
      <w:pPr>
        <w:pStyle w:val="Heading2"/>
        <w:spacing w:after="100" w:before="240"/>
      </w:pPr>
      <w:r>
        <w:rPr>
          <w:rFonts w:ascii="Calibri" w:cs="Calibri" w:eastAsia="Calibri" w:hAnsi="Calibri"/>
          <w:b/>
          <w:bCs/>
          <w:color w:val="0B1B3F"/>
          <w:sz w:val="24"/>
          <w:szCs w:val="24"/>
        </w:rPr>
        <w:t xml:space="preserve">6. Sexual Harassment</w:t>
      </w:r>
    </w:p>
    <w:p>
      <w:pPr>
        <w:spacing w:after="160" w:line="300"/>
      </w:pPr>
      <w:r>
        <w:rPr>
          <w:rFonts w:ascii="Calibri" w:cs="Calibri" w:eastAsia="Calibri" w:hAnsi="Calibri"/>
          <w:sz w:val="22"/>
          <w:szCs w:val="22"/>
        </w:rPr>
        <w:t xml:space="preserve">Complaints of sexual harassment will be handled by the Internal Committee constituted under the Sexual Harassment of Women at Workplace (Prevention, Prohibition and Redressal) Act, 2013, as per the company's POSH Policy. Internal Committee contact: </w:t>
      </w:r>
      <w:r>
        <w:rPr>
          <w:rFonts w:ascii="Calibri" w:cs="Calibri" w:eastAsia="Calibri" w:hAnsi="Calibri"/>
          <w:sz w:val="22"/>
          <w:szCs w:val="22"/>
          <w:highlight w:val="yellow"/>
        </w:rPr>
        <w:t xml:space="preserve">[IC Presiding Officer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[IC Email]</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7. Reporting Concerns</w:t>
      </w:r>
    </w:p>
    <w:p>
      <w:pPr>
        <w:spacing w:after="160" w:line="300"/>
      </w:pPr>
      <w:r>
        <w:rPr>
          <w:rFonts w:ascii="Calibri" w:cs="Calibri" w:eastAsia="Calibri" w:hAnsi="Calibri"/>
          <w:sz w:val="22"/>
          <w:szCs w:val="22"/>
        </w:rPr>
        <w:t xml:space="preserve">Employees may report concerns to their Reporting Manager, to HR at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or through the confidential helpline </w:t>
      </w:r>
      <w:r>
        <w:rPr>
          <w:rFonts w:ascii="Calibri" w:cs="Calibri" w:eastAsia="Calibri" w:hAnsi="Calibri"/>
          <w:sz w:val="22"/>
          <w:szCs w:val="22"/>
          <w:highlight w:val="yellow"/>
        </w:rPr>
        <w:t xml:space="preserve">[Helpline Contact]</w:t>
      </w:r>
      <w:r>
        <w:rPr>
          <w:rFonts w:ascii="Calibri" w:cs="Calibri" w:eastAsia="Calibri" w:hAnsi="Calibri"/>
          <w:sz w:val="22"/>
          <w:szCs w:val="22"/>
        </w:rPr>
        <w:t xml:space="preserve">. Concerns will be reviewed promptly and confidentially as far as possible.</w:t>
      </w:r>
    </w:p>
    <w:p>
      <w:pPr>
        <w:pStyle w:val="Heading2"/>
        <w:spacing w:after="100" w:before="240"/>
      </w:pPr>
      <w:r>
        <w:rPr>
          <w:rFonts w:ascii="Calibri" w:cs="Calibri" w:eastAsia="Calibri" w:hAnsi="Calibri"/>
          <w:b/>
          <w:bCs/>
          <w:color w:val="0B1B3F"/>
          <w:sz w:val="24"/>
          <w:szCs w:val="24"/>
        </w:rPr>
        <w:t xml:space="preserve">8. Non-Retaliation</w:t>
      </w:r>
    </w:p>
    <w:p>
      <w:pPr>
        <w:spacing w:after="160" w:line="300"/>
      </w:pPr>
      <w:r>
        <w:rPr>
          <w:rFonts w:ascii="Calibri" w:cs="Calibri" w:eastAsia="Calibri" w:hAnsi="Calibri"/>
          <w:sz w:val="22"/>
          <w:szCs w:val="22"/>
        </w:rPr>
        <w:t xml:space="preserve">No employee will face adverse treatment for raising a concern in good faith or for participating in an investigation. Retaliation is itself a breach of this policy.</w:t>
      </w:r>
    </w:p>
    <w:p>
      <w:pPr>
        <w:pStyle w:val="Heading2"/>
        <w:spacing w:after="100" w:before="240"/>
      </w:pPr>
      <w:r>
        <w:rPr>
          <w:rFonts w:ascii="Calibri" w:cs="Calibri" w:eastAsia="Calibri" w:hAnsi="Calibri"/>
          <w:b/>
          <w:bCs/>
          <w:color w:val="0B1B3F"/>
          <w:sz w:val="24"/>
          <w:szCs w:val="24"/>
        </w:rPr>
        <w:t xml:space="preserve">9. Responsibilities</w:t>
      </w:r>
    </w:p>
    <w:p>
      <w:pPr>
        <w:pStyle w:val="ListParagraph"/>
        <w:numPr>
          <w:ilvl w:val="0"/>
          <w:numId w:val="1"/>
        </w:numPr>
        <w:spacing w:after="80" w:line="290"/>
      </w:pPr>
      <w:r>
        <w:rPr>
          <w:rFonts w:ascii="Calibri" w:cs="Calibri" w:eastAsia="Calibri" w:hAnsi="Calibri"/>
          <w:sz w:val="22"/>
          <w:szCs w:val="22"/>
        </w:rPr>
        <w:t xml:space="preserve">Employees: read, acknowledge and follow this policy.</w:t>
      </w:r>
    </w:p>
    <w:p>
      <w:pPr>
        <w:pStyle w:val="ListParagraph"/>
        <w:numPr>
          <w:ilvl w:val="0"/>
          <w:numId w:val="1"/>
        </w:numPr>
        <w:spacing w:after="80" w:line="290"/>
      </w:pPr>
      <w:r>
        <w:rPr>
          <w:rFonts w:ascii="Calibri" w:cs="Calibri" w:eastAsia="Calibri" w:hAnsi="Calibri"/>
          <w:sz w:val="22"/>
          <w:szCs w:val="22"/>
        </w:rPr>
        <w:t xml:space="preserve">Managers: model the standards, address issues early and consistently, and involve HR.</w:t>
      </w:r>
    </w:p>
    <w:p>
      <w:pPr>
        <w:pStyle w:val="ListParagraph"/>
        <w:numPr>
          <w:ilvl w:val="0"/>
          <w:numId w:val="1"/>
        </w:numPr>
        <w:spacing w:after="80" w:line="290"/>
      </w:pPr>
      <w:r>
        <w:rPr>
          <w:rFonts w:ascii="Calibri" w:cs="Calibri" w:eastAsia="Calibri" w:hAnsi="Calibri"/>
          <w:sz w:val="22"/>
          <w:szCs w:val="22"/>
        </w:rPr>
        <w:t xml:space="preserve">HR: communicate the policy, train employees, maintain records and ensure fair handling of breaches.</w:t>
      </w:r>
    </w:p>
    <w:p>
      <w:pPr>
        <w:pStyle w:val="Heading2"/>
        <w:spacing w:after="100" w:before="240"/>
      </w:pPr>
      <w:r>
        <w:rPr>
          <w:rFonts w:ascii="Calibri" w:cs="Calibri" w:eastAsia="Calibri" w:hAnsi="Calibri"/>
          <w:b/>
          <w:bCs/>
          <w:color w:val="0B1B3F"/>
          <w:sz w:val="24"/>
          <w:szCs w:val="24"/>
        </w:rPr>
        <w:t xml:space="preserve">10. Non-compliance</w:t>
      </w:r>
    </w:p>
    <w:p>
      <w:pPr>
        <w:spacing w:after="160" w:line="300"/>
      </w:pPr>
      <w:r>
        <w:rPr>
          <w:rFonts w:ascii="Calibri" w:cs="Calibri" w:eastAsia="Calibri" w:hAnsi="Calibri"/>
          <w:sz w:val="22"/>
          <w:szCs w:val="22"/>
        </w:rPr>
        <w:t xml:space="preserve">Breaches of this policy will be dealt with under the company's Disciplinary Action Policy and Standing Orders. Every employee will be informed of the concern and given an opportunity to explain before any action is taken.</w:t>
      </w:r>
    </w:p>
    <w:p>
      <w:pPr>
        <w:pStyle w:val="Heading2"/>
        <w:spacing w:after="100" w:before="240"/>
      </w:pPr>
      <w:r>
        <w:rPr>
          <w:rFonts w:ascii="Calibri" w:cs="Calibri" w:eastAsia="Calibri" w:hAnsi="Calibri"/>
          <w:b/>
          <w:bCs/>
          <w:color w:val="0B1B3F"/>
          <w:sz w:val="24"/>
          <w:szCs w:val="24"/>
        </w:rPr>
        <w:t xml:space="preserve">11. Review</w:t>
      </w:r>
    </w:p>
    <w:p>
      <w:pPr>
        <w:spacing w:after="160" w:line="300"/>
      </w:pPr>
      <w:r>
        <w:rPr>
          <w:rFonts w:ascii="Calibri" w:cs="Calibri" w:eastAsia="Calibri" w:hAnsi="Calibri"/>
          <w:sz w:val="22"/>
          <w:szCs w:val="22"/>
        </w:rPr>
        <w:t xml:space="preserve">HR will review this policy every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or earlier if required by law or business changes.</w:t>
      </w:r>
    </w:p>
    <w:p>
      <w:pPr>
        <w:spacing w:after="160" w:line="300"/>
      </w:pPr>
      <w:r>
        <w:rPr>
          <w:rFonts w:ascii="Calibri" w:cs="Calibri" w:eastAsia="Calibri" w:hAnsi="Calibri"/>
          <w:sz w:val="22"/>
          <w:szCs w:val="22"/>
        </w:rPr>
        <w:t xml:space="preserve">Employee acknowledgement: I have read and understood the Workplace Conduct Policy and agree to comply with it.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Conduct Policy</dc:title>
  <dc:subject>Workplace conduct policy template in Word for Indian companies: expected behaviour, prohibited conduct, POSH link, reporting channels and non-retaliation. Free.</dc:subject>
  <dc:creator>BetterJobs.in</dc:creator>
  <cp:keywords>workplace conduct policy, employee conduct policy template, code of conduct policy for employees india, workplace behaviour policy sample, employee conduct rules format, workplace conduct policy in word</cp:keywords>
  <dc:description>Free Workplace Conduct Policy template from BetterJobs.in — https://betterjobs.in/hr-templates/workplace-conduct-policy/</dc:description>
  <cp:lastModifiedBy>Un-named</cp:lastModifiedBy>
  <cp:revision>1</cp:revision>
  <dcterms:created xsi:type="dcterms:W3CDTF">2026-10-05T19:02:30.097Z</dcterms:created>
  <dcterms:modified xsi:type="dcterms:W3CDTF">2026-10-05T19:02:30.097Z</dcterms:modified>
</cp:coreProperties>
</file>

<file path=docProps/custom.xml><?xml version="1.0" encoding="utf-8"?>
<Properties xmlns="http://schemas.openxmlformats.org/officeDocument/2006/custom-properties" xmlns:vt="http://schemas.openxmlformats.org/officeDocument/2006/docPropsVTypes"/>
</file>